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10B38" w14:textId="4FD5889A" w:rsidR="000636BA" w:rsidRPr="00690447" w:rsidRDefault="006D58A9" w:rsidP="000636B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TSG RAN WG1 </w:t>
      </w:r>
      <w:r w:rsidR="006C3EEA">
        <w:rPr>
          <w:rFonts w:ascii="Arial" w:hAnsi="Arial" w:cs="Arial"/>
          <w:b/>
          <w:bCs/>
          <w:sz w:val="24"/>
        </w:rPr>
        <w:t>#92</w:t>
      </w:r>
      <w:r w:rsidR="000636BA" w:rsidRPr="00690447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0636BA" w:rsidRPr="00690447">
        <w:rPr>
          <w:rFonts w:ascii="Arial" w:hAnsi="Arial" w:cs="Arial"/>
          <w:b/>
          <w:bCs/>
          <w:sz w:val="24"/>
        </w:rPr>
        <w:t>R1-</w:t>
      </w:r>
      <w:r>
        <w:rPr>
          <w:rFonts w:ascii="Arial" w:hAnsi="Arial" w:cs="Arial"/>
          <w:b/>
          <w:bCs/>
          <w:sz w:val="24"/>
        </w:rPr>
        <w:t>18</w:t>
      </w:r>
      <w:r w:rsidR="006C3EEA">
        <w:rPr>
          <w:rFonts w:ascii="Arial" w:hAnsi="Arial" w:cs="Arial"/>
          <w:b/>
          <w:bCs/>
          <w:sz w:val="24"/>
          <w:lang w:eastAsia="zh-CN"/>
        </w:rPr>
        <w:t>0</w:t>
      </w:r>
      <w:r w:rsidR="009D1838">
        <w:rPr>
          <w:rFonts w:ascii="Arial" w:hAnsi="Arial" w:cs="Arial"/>
          <w:b/>
          <w:bCs/>
          <w:sz w:val="24"/>
          <w:lang w:eastAsia="zh-CN"/>
        </w:rPr>
        <w:t>2639</w:t>
      </w:r>
    </w:p>
    <w:p w14:paraId="1EB85490" w14:textId="19974E88" w:rsidR="000636BA" w:rsidRDefault="006C3EEA" w:rsidP="000636B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Athens, Greece, Febr</w:t>
      </w:r>
      <w:r w:rsidR="006D58A9" w:rsidRPr="006D58A9">
        <w:rPr>
          <w:rFonts w:ascii="Arial" w:hAnsi="Arial" w:cs="Arial"/>
          <w:b/>
          <w:bCs/>
          <w:sz w:val="24"/>
        </w:rPr>
        <w:t>uary 26</w:t>
      </w:r>
      <w:r w:rsidR="006D58A9" w:rsidRPr="003A33DA">
        <w:rPr>
          <w:rFonts w:ascii="Arial" w:hAnsi="Arial" w:cs="Arial"/>
          <w:b/>
          <w:bCs/>
          <w:sz w:val="24"/>
          <w:vertAlign w:val="superscript"/>
        </w:rPr>
        <w:t>th</w:t>
      </w:r>
      <w:r w:rsidR="003A33DA">
        <w:rPr>
          <w:rFonts w:ascii="Arial" w:hAnsi="Arial" w:cs="Arial"/>
          <w:b/>
          <w:bCs/>
          <w:sz w:val="24"/>
        </w:rPr>
        <w:t xml:space="preserve"> – March 2</w:t>
      </w:r>
      <w:r w:rsidR="003A33DA" w:rsidRPr="003A33DA">
        <w:rPr>
          <w:rFonts w:ascii="Arial" w:hAnsi="Arial" w:cs="Arial"/>
          <w:b/>
          <w:bCs/>
          <w:sz w:val="24"/>
          <w:vertAlign w:val="superscript"/>
        </w:rPr>
        <w:t>nd</w:t>
      </w:r>
      <w:r w:rsidR="006D58A9" w:rsidRPr="006D58A9">
        <w:rPr>
          <w:rFonts w:ascii="Arial" w:hAnsi="Arial" w:cs="Arial"/>
          <w:b/>
          <w:bCs/>
          <w:sz w:val="24"/>
        </w:rPr>
        <w:t>, 2018</w:t>
      </w:r>
    </w:p>
    <w:p w14:paraId="673E8FE2" w14:textId="77777777" w:rsidR="00BE3E52" w:rsidRPr="006D58A9" w:rsidRDefault="00BE3E52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3E32863" w14:textId="77777777" w:rsidR="003F5796" w:rsidRDefault="003F5796" w:rsidP="003F5796">
      <w:pPr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>
        <w:rPr>
          <w:rFonts w:ascii="Arial" w:hAnsi="Arial" w:cs="Arial"/>
          <w:b/>
          <w:sz w:val="24"/>
          <w:lang w:val="en-US"/>
        </w:rPr>
        <w:t>7.4.4</w:t>
      </w:r>
    </w:p>
    <w:p w14:paraId="3C910FB8" w14:textId="77777777" w:rsidR="003F5796" w:rsidRDefault="003F5796" w:rsidP="003F579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2414D0B3" w14:textId="77777777" w:rsidR="003F5796" w:rsidRDefault="003F5796" w:rsidP="003F579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>
        <w:rPr>
          <w:rFonts w:ascii="Arial" w:hAnsi="Arial" w:cs="Arial"/>
          <w:b/>
          <w:sz w:val="24"/>
        </w:rPr>
        <w:t>rDigital Inc.</w:t>
      </w:r>
    </w:p>
    <w:p w14:paraId="4D97281C" w14:textId="77777777" w:rsidR="003F5796" w:rsidRDefault="003F5796" w:rsidP="003F5796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3AEAA625" w14:textId="1BA4CCE7" w:rsidR="003F5796" w:rsidRDefault="003F5796" w:rsidP="003F5796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>
        <w:rPr>
          <w:rFonts w:ascii="Arial" w:eastAsia="Malgun Gothic" w:hAnsi="Arial" w:cs="Arial"/>
          <w:b/>
          <w:sz w:val="24"/>
          <w:lang w:val="en-US" w:eastAsia="ko-KR"/>
        </w:rPr>
        <w:t>Preliminary IDMA link level simulation results</w:t>
      </w:r>
    </w:p>
    <w:p w14:paraId="56F4A977" w14:textId="77777777" w:rsidR="003F5796" w:rsidRPr="00E95DAE" w:rsidRDefault="003F5796" w:rsidP="003F5796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</w:p>
    <w:p w14:paraId="031613C6" w14:textId="1E882C85" w:rsidR="003F5796" w:rsidRDefault="003F5796" w:rsidP="003F5796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bookmarkStart w:id="0" w:name="_GoBack"/>
      <w:bookmarkEnd w:id="0"/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720DE933" w14:textId="1A900E32" w:rsidR="009300EE" w:rsidRDefault="009300EE" w:rsidP="009300EE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NOMA studies in 3GPP started with the Rel. 14 NOMA SI where different schemes were investigated. Leading up to RAN1 #86b meeting, preliminary NOMA simulations were performed and the schemes were shown to provide significant benefits in throughput, overloading, and handling large packet arrival rates. The results were summarized in [1] and captured in TR38.802 along with the simulation assumptions. </w:t>
      </w:r>
      <w:r w:rsidR="002A20AA">
        <w:rPr>
          <w:sz w:val="22"/>
          <w:szCs w:val="22"/>
          <w:lang w:eastAsia="zh-CN"/>
        </w:rPr>
        <w:t>At RANP #75, a new Study Item on NOMA was approved and further revised at RANP #76 [2].</w:t>
      </w:r>
    </w:p>
    <w:p w14:paraId="1AB8502D" w14:textId="6E09B971" w:rsidR="009300EE" w:rsidRDefault="009300EE" w:rsidP="009300EE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provide some </w:t>
      </w:r>
      <w:r w:rsidR="008D6684">
        <w:rPr>
          <w:sz w:val="22"/>
          <w:szCs w:val="22"/>
          <w:lang w:eastAsia="zh-CN"/>
        </w:rPr>
        <w:t xml:space="preserve">initial link level simulation results on the performance of IDMA. </w:t>
      </w:r>
      <w:r w:rsidR="00817255">
        <w:rPr>
          <w:sz w:val="22"/>
          <w:szCs w:val="22"/>
          <w:lang w:eastAsia="zh-CN"/>
        </w:rPr>
        <w:t xml:space="preserve">The employed evaluation assumptions are mainly based on recent email discussions. </w:t>
      </w:r>
    </w:p>
    <w:p w14:paraId="6772259A" w14:textId="77777777" w:rsidR="00817255" w:rsidRDefault="00817255" w:rsidP="00817255">
      <w:pPr>
        <w:jc w:val="both"/>
        <w:rPr>
          <w:sz w:val="22"/>
          <w:szCs w:val="22"/>
          <w:lang w:eastAsia="zh-CN"/>
        </w:rPr>
      </w:pPr>
    </w:p>
    <w:p w14:paraId="58F80269" w14:textId="60760C69" w:rsidR="00332158" w:rsidRDefault="005732C1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Preliminary results</w:t>
      </w:r>
    </w:p>
    <w:p w14:paraId="470368A6" w14:textId="2604264C" w:rsidR="005732C1" w:rsidRDefault="005732C1" w:rsidP="008B795F">
      <w:pPr>
        <w:ind w:firstLine="288"/>
        <w:jc w:val="both"/>
        <w:rPr>
          <w:sz w:val="22"/>
          <w:szCs w:val="22"/>
          <w:lang w:val="en-US"/>
        </w:rPr>
      </w:pPr>
      <w:r w:rsidRPr="00CB5E07">
        <w:rPr>
          <w:sz w:val="22"/>
          <w:szCs w:val="22"/>
          <w:lang w:val="en-US"/>
        </w:rPr>
        <w:t xml:space="preserve">In this </w:t>
      </w:r>
      <w:r>
        <w:rPr>
          <w:sz w:val="22"/>
          <w:szCs w:val="22"/>
          <w:lang w:val="en-US"/>
        </w:rPr>
        <w:t>contribution,</w:t>
      </w:r>
      <w:r w:rsidRPr="00CB5E07">
        <w:rPr>
          <w:sz w:val="22"/>
          <w:szCs w:val="22"/>
          <w:lang w:val="en-US"/>
        </w:rPr>
        <w:t xml:space="preserve"> we provide some initial link level simulation </w:t>
      </w:r>
      <w:r>
        <w:rPr>
          <w:sz w:val="22"/>
          <w:szCs w:val="22"/>
          <w:lang w:val="en-US"/>
        </w:rPr>
        <w:t>results</w:t>
      </w:r>
      <w:r w:rsidRPr="00CB5E07">
        <w:rPr>
          <w:sz w:val="22"/>
          <w:szCs w:val="22"/>
          <w:lang w:val="en-US"/>
        </w:rPr>
        <w:t xml:space="preserve"> based on the latest agreed assumptions. </w:t>
      </w:r>
      <w:r w:rsidR="008D6684" w:rsidRPr="00CB5E07">
        <w:rPr>
          <w:sz w:val="22"/>
          <w:szCs w:val="22"/>
          <w:lang w:val="en-US"/>
        </w:rPr>
        <w:t>In our companion contributions [3], [4], we</w:t>
      </w:r>
      <w:r w:rsidR="00A84037" w:rsidRPr="00CB5E07">
        <w:rPr>
          <w:sz w:val="22"/>
          <w:szCs w:val="22"/>
          <w:lang w:val="en-US"/>
        </w:rPr>
        <w:t xml:space="preserve"> describe</w:t>
      </w:r>
      <w:r w:rsidR="008D6684" w:rsidRPr="00CB5E07">
        <w:rPr>
          <w:sz w:val="22"/>
          <w:szCs w:val="22"/>
          <w:lang w:val="en-US"/>
        </w:rPr>
        <w:t xml:space="preserve"> </w:t>
      </w:r>
      <w:r w:rsidR="00507B32">
        <w:rPr>
          <w:sz w:val="22"/>
          <w:szCs w:val="22"/>
          <w:lang w:val="en-US"/>
        </w:rPr>
        <w:t>basic principles of IDMA as well as</w:t>
      </w:r>
      <w:r w:rsidR="008D6684" w:rsidRPr="00CB5E07">
        <w:rPr>
          <w:sz w:val="22"/>
          <w:szCs w:val="22"/>
          <w:lang w:val="en-US"/>
        </w:rPr>
        <w:t xml:space="preserve"> </w:t>
      </w:r>
      <w:r w:rsidR="00507B32" w:rsidRPr="00CB5E07">
        <w:rPr>
          <w:sz w:val="22"/>
          <w:szCs w:val="22"/>
          <w:lang w:val="en-US"/>
        </w:rPr>
        <w:t>detail</w:t>
      </w:r>
      <w:r w:rsidR="00507B32">
        <w:rPr>
          <w:sz w:val="22"/>
          <w:szCs w:val="22"/>
          <w:lang w:val="en-US"/>
        </w:rPr>
        <w:t>ed</w:t>
      </w:r>
      <w:r w:rsidR="008D6684" w:rsidRPr="00CB5E07">
        <w:rPr>
          <w:sz w:val="22"/>
          <w:szCs w:val="22"/>
          <w:lang w:val="en-US"/>
        </w:rPr>
        <w:t xml:space="preserve"> </w:t>
      </w:r>
      <w:r w:rsidR="00507B32">
        <w:rPr>
          <w:sz w:val="22"/>
          <w:szCs w:val="22"/>
          <w:lang w:val="en-US"/>
        </w:rPr>
        <w:t>description of the required</w:t>
      </w:r>
      <w:r w:rsidR="008D6684" w:rsidRPr="00CB5E07">
        <w:rPr>
          <w:sz w:val="22"/>
          <w:szCs w:val="22"/>
          <w:lang w:val="en-US"/>
        </w:rPr>
        <w:t xml:space="preserve"> </w:t>
      </w:r>
      <w:r w:rsidR="00507B32">
        <w:rPr>
          <w:sz w:val="22"/>
          <w:szCs w:val="22"/>
          <w:lang w:val="en-US"/>
        </w:rPr>
        <w:t xml:space="preserve">processing in an </w:t>
      </w:r>
      <w:r w:rsidR="008D6684" w:rsidRPr="00CB5E07">
        <w:rPr>
          <w:sz w:val="22"/>
          <w:szCs w:val="22"/>
          <w:lang w:val="en-US"/>
        </w:rPr>
        <w:t>IDMA transceiver.</w:t>
      </w:r>
      <w:r w:rsidR="00C354D1" w:rsidRPr="00CB5E07">
        <w:rPr>
          <w:sz w:val="22"/>
          <w:szCs w:val="22"/>
          <w:lang w:val="en-US"/>
        </w:rPr>
        <w:t xml:space="preserve"> </w:t>
      </w:r>
    </w:p>
    <w:p w14:paraId="6FDEC747" w14:textId="2FD8C2B7" w:rsidR="008D6684" w:rsidRDefault="005732C1" w:rsidP="008B795F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section, </w:t>
      </w:r>
      <w:r w:rsidR="00507B32">
        <w:rPr>
          <w:sz w:val="22"/>
          <w:szCs w:val="22"/>
          <w:lang w:val="en-US"/>
        </w:rPr>
        <w:t>evaluat</w:t>
      </w:r>
      <w:r>
        <w:rPr>
          <w:sz w:val="22"/>
          <w:szCs w:val="22"/>
          <w:lang w:val="en-US"/>
        </w:rPr>
        <w:t>ion results for an IDMA-based NOMA system with</w:t>
      </w:r>
      <w:r w:rsidR="00C354D1" w:rsidRPr="00CB5E07">
        <w:rPr>
          <w:sz w:val="22"/>
          <w:szCs w:val="22"/>
          <w:lang w:val="en-US"/>
        </w:rPr>
        <w:t xml:space="preserve"> AWGN and fa</w:t>
      </w:r>
      <w:r w:rsidR="00507B32">
        <w:rPr>
          <w:sz w:val="22"/>
          <w:szCs w:val="22"/>
          <w:lang w:val="en-US"/>
        </w:rPr>
        <w:t>ding channels (TDL-A and TDL-C)</w:t>
      </w:r>
      <w:r>
        <w:rPr>
          <w:sz w:val="22"/>
          <w:szCs w:val="22"/>
          <w:lang w:val="en-US"/>
        </w:rPr>
        <w:t xml:space="preserve"> are presented</w:t>
      </w:r>
      <w:r w:rsidR="00507B32"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  <w:lang w:val="en-US"/>
        </w:rPr>
        <w:t>The employed modulation is QPSK, and the</w:t>
      </w:r>
      <w:r w:rsidR="00507B32">
        <w:rPr>
          <w:sz w:val="22"/>
          <w:szCs w:val="22"/>
          <w:lang w:val="en-US"/>
        </w:rPr>
        <w:t xml:space="preserve"> system dimension is assumed 1TX-2RX. </w:t>
      </w:r>
      <w:r>
        <w:rPr>
          <w:sz w:val="22"/>
          <w:szCs w:val="22"/>
          <w:lang w:val="en-US"/>
        </w:rPr>
        <w:t>The overall spreading of the system is 12 that is resulted from use of a Turbo Code (</w:t>
      </w:r>
      <w:r w:rsidR="00F256F7">
        <w:rPr>
          <w:sz w:val="22"/>
          <w:szCs w:val="22"/>
          <w:lang w:val="en-US"/>
        </w:rPr>
        <w:t>CR=</w:t>
      </w:r>
      <w:r>
        <w:rPr>
          <w:sz w:val="22"/>
          <w:szCs w:val="22"/>
          <w:lang w:val="en-US"/>
        </w:rPr>
        <w:t>⅓)</w:t>
      </w:r>
      <w:r w:rsidR="00C354D1" w:rsidRPr="00CB5E0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and a repeti</w:t>
      </w:r>
      <w:r w:rsidR="00F256F7">
        <w:rPr>
          <w:sz w:val="22"/>
          <w:szCs w:val="22"/>
          <w:lang w:val="en-US"/>
        </w:rPr>
        <w:t xml:space="preserve">tion rate of (R=4). Therefore, the SE of the system can be evaluated at about 17%. The number of iterations for the IDMA receiver is set at 5. The </w:t>
      </w:r>
      <w:r w:rsidR="00C354D1" w:rsidRPr="00CB5E07">
        <w:rPr>
          <w:sz w:val="22"/>
          <w:szCs w:val="22"/>
          <w:lang w:val="en-US"/>
        </w:rPr>
        <w:t>complete list of simulation assumptions is given in Table 1.</w:t>
      </w:r>
      <w:r w:rsidR="00FB24E8">
        <w:rPr>
          <w:sz w:val="22"/>
          <w:szCs w:val="22"/>
          <w:lang w:val="en-US"/>
        </w:rPr>
        <w:t xml:space="preserve"> </w:t>
      </w:r>
    </w:p>
    <w:p w14:paraId="4DB5FEBE" w14:textId="2726E0F5" w:rsidR="00F256F7" w:rsidRDefault="005732C1" w:rsidP="005732C1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Figure 1 shows the BLER </w:t>
      </w:r>
      <w:r w:rsidRPr="00CB5E07">
        <w:rPr>
          <w:sz w:val="22"/>
          <w:szCs w:val="22"/>
          <w:lang w:val="en-US"/>
        </w:rPr>
        <w:t xml:space="preserve">performance </w:t>
      </w:r>
      <w:r w:rsidR="00F256F7">
        <w:rPr>
          <w:sz w:val="22"/>
          <w:szCs w:val="22"/>
          <w:lang w:val="en-US"/>
        </w:rPr>
        <w:t xml:space="preserve">of the system </w:t>
      </w:r>
      <w:r w:rsidRPr="00CB5E07">
        <w:rPr>
          <w:sz w:val="22"/>
          <w:szCs w:val="22"/>
          <w:lang w:val="en-US"/>
        </w:rPr>
        <w:t xml:space="preserve">in </w:t>
      </w:r>
      <w:r>
        <w:rPr>
          <w:sz w:val="22"/>
          <w:szCs w:val="22"/>
          <w:lang w:val="en-US"/>
        </w:rPr>
        <w:t xml:space="preserve">an </w:t>
      </w:r>
      <w:r w:rsidRPr="00CB5E07">
        <w:rPr>
          <w:sz w:val="22"/>
          <w:szCs w:val="22"/>
          <w:lang w:val="en-US"/>
        </w:rPr>
        <w:t>AWGN</w:t>
      </w:r>
      <w:r>
        <w:rPr>
          <w:sz w:val="22"/>
          <w:szCs w:val="22"/>
          <w:lang w:val="en-US"/>
        </w:rPr>
        <w:t xml:space="preserve"> channel</w:t>
      </w:r>
      <w:r w:rsidRPr="00CB5E07">
        <w:rPr>
          <w:sz w:val="22"/>
          <w:szCs w:val="22"/>
          <w:lang w:val="en-US"/>
        </w:rPr>
        <w:t xml:space="preserve">. </w:t>
      </w:r>
      <w:r w:rsidR="00FB24E8">
        <w:rPr>
          <w:sz w:val="22"/>
          <w:szCs w:val="22"/>
          <w:lang w:val="en-US"/>
        </w:rPr>
        <w:t xml:space="preserve">As a </w:t>
      </w:r>
      <w:r w:rsidR="00C05034">
        <w:rPr>
          <w:sz w:val="22"/>
          <w:szCs w:val="22"/>
          <w:lang w:val="en-US"/>
        </w:rPr>
        <w:t xml:space="preserve">point of </w:t>
      </w:r>
      <w:r w:rsidR="00FB24E8">
        <w:rPr>
          <w:sz w:val="22"/>
          <w:szCs w:val="22"/>
          <w:lang w:val="en-US"/>
        </w:rPr>
        <w:t xml:space="preserve">reference, we have also included the performance of an OMA system. </w:t>
      </w:r>
      <w:r w:rsidR="00F256F7">
        <w:rPr>
          <w:sz w:val="22"/>
          <w:szCs w:val="22"/>
          <w:lang w:val="en-US"/>
        </w:rPr>
        <w:t xml:space="preserve">As demonstrated, the performance of the system exhibits some </w:t>
      </w:r>
      <w:r w:rsidR="00FB24E8">
        <w:rPr>
          <w:sz w:val="22"/>
          <w:szCs w:val="22"/>
          <w:lang w:val="en-US"/>
        </w:rPr>
        <w:t>degradation</w:t>
      </w:r>
      <w:r w:rsidR="00F256F7">
        <w:rPr>
          <w:sz w:val="22"/>
          <w:szCs w:val="22"/>
          <w:lang w:val="en-US"/>
        </w:rPr>
        <w:t xml:space="preserve"> as the number of UEs in the system increases.</w:t>
      </w:r>
      <w:r w:rsidR="00FB24E8">
        <w:rPr>
          <w:sz w:val="22"/>
          <w:szCs w:val="22"/>
          <w:lang w:val="en-US"/>
        </w:rPr>
        <w:t xml:space="preserve"> However, </w:t>
      </w:r>
      <w:r w:rsidR="00440799">
        <w:rPr>
          <w:sz w:val="22"/>
          <w:szCs w:val="22"/>
          <w:lang w:val="en-US"/>
        </w:rPr>
        <w:t xml:space="preserve">even with having </w:t>
      </w:r>
      <w:r w:rsidR="009C2C14">
        <w:rPr>
          <w:sz w:val="22"/>
          <w:szCs w:val="22"/>
          <w:lang w:val="en-US"/>
        </w:rPr>
        <w:t>7</w:t>
      </w:r>
      <w:r w:rsidR="00440799">
        <w:rPr>
          <w:sz w:val="22"/>
          <w:szCs w:val="22"/>
          <w:lang w:val="en-US"/>
        </w:rPr>
        <w:t xml:space="preserve"> users in the system that represents and overloading of </w:t>
      </w:r>
      <w:r w:rsidR="009C2C14">
        <w:rPr>
          <w:sz w:val="22"/>
          <w:szCs w:val="22"/>
          <w:lang w:val="en-US"/>
        </w:rPr>
        <w:t xml:space="preserve">more than </w:t>
      </w:r>
      <w:r w:rsidR="00440799">
        <w:rPr>
          <w:sz w:val="22"/>
          <w:szCs w:val="22"/>
          <w:lang w:val="en-US"/>
        </w:rPr>
        <w:t>150%,</w:t>
      </w:r>
      <w:r w:rsidR="00FB24E8">
        <w:rPr>
          <w:sz w:val="22"/>
          <w:szCs w:val="22"/>
          <w:lang w:val="en-US"/>
        </w:rPr>
        <w:t xml:space="preserve"> the performance of the </w:t>
      </w:r>
      <w:r w:rsidR="002D6D35">
        <w:rPr>
          <w:sz w:val="22"/>
          <w:szCs w:val="22"/>
          <w:lang w:val="en-US"/>
        </w:rPr>
        <w:t xml:space="preserve">IDMA </w:t>
      </w:r>
      <w:r w:rsidR="00FB24E8">
        <w:rPr>
          <w:sz w:val="22"/>
          <w:szCs w:val="22"/>
          <w:lang w:val="en-US"/>
        </w:rPr>
        <w:t xml:space="preserve">NOMA is still superior to the OMA case </w:t>
      </w:r>
      <w:r w:rsidR="00440799">
        <w:rPr>
          <w:sz w:val="22"/>
          <w:szCs w:val="22"/>
          <w:lang w:val="en-US"/>
        </w:rPr>
        <w:t xml:space="preserve">by about </w:t>
      </w:r>
      <w:r w:rsidR="009C2C14">
        <w:rPr>
          <w:sz w:val="22"/>
          <w:szCs w:val="22"/>
          <w:lang w:val="en-US"/>
        </w:rPr>
        <w:t>2.5</w:t>
      </w:r>
      <w:r w:rsidR="00440799">
        <w:rPr>
          <w:sz w:val="22"/>
          <w:szCs w:val="22"/>
          <w:lang w:val="en-US"/>
        </w:rPr>
        <w:t xml:space="preserve"> dB </w:t>
      </w:r>
      <w:r w:rsidR="002D6D35">
        <w:rPr>
          <w:sz w:val="22"/>
          <w:szCs w:val="22"/>
          <w:lang w:val="en-US"/>
        </w:rPr>
        <w:t>which</w:t>
      </w:r>
      <w:r w:rsidR="00FB24E8">
        <w:rPr>
          <w:sz w:val="22"/>
          <w:szCs w:val="22"/>
          <w:lang w:val="en-US"/>
        </w:rPr>
        <w:t xml:space="preserve"> can </w:t>
      </w:r>
      <w:r w:rsidR="002D6D35">
        <w:rPr>
          <w:sz w:val="22"/>
          <w:szCs w:val="22"/>
          <w:lang w:val="en-US"/>
        </w:rPr>
        <w:t xml:space="preserve">be </w:t>
      </w:r>
      <w:r w:rsidR="00FB24E8">
        <w:rPr>
          <w:sz w:val="22"/>
          <w:szCs w:val="22"/>
          <w:lang w:val="en-US"/>
        </w:rPr>
        <w:t>attributed to the relatively high spreading rate of the system</w:t>
      </w:r>
      <w:r w:rsidR="00FB24E8" w:rsidRPr="00CB5E07">
        <w:rPr>
          <w:sz w:val="22"/>
          <w:szCs w:val="22"/>
          <w:lang w:val="en-US"/>
        </w:rPr>
        <w:t>.</w:t>
      </w:r>
      <w:r w:rsidR="009C2C14">
        <w:rPr>
          <w:sz w:val="22"/>
          <w:szCs w:val="22"/>
          <w:lang w:val="en-US"/>
        </w:rPr>
        <w:t xml:space="preserve"> </w:t>
      </w:r>
    </w:p>
    <w:p w14:paraId="056633CF" w14:textId="50DB2094" w:rsidR="005732C1" w:rsidRPr="00CB5E07" w:rsidRDefault="005732C1" w:rsidP="005732C1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Figure 2, we plot the degradation in SNR relative to single user case as a function of the number of users in the system</w:t>
      </w:r>
      <w:r w:rsidR="004F4570">
        <w:rPr>
          <w:sz w:val="22"/>
          <w:szCs w:val="22"/>
          <w:lang w:val="en-US"/>
        </w:rPr>
        <w:t xml:space="preserve"> with AWGN channel</w:t>
      </w:r>
      <w:r>
        <w:rPr>
          <w:sz w:val="22"/>
          <w:szCs w:val="22"/>
          <w:lang w:val="en-US"/>
        </w:rPr>
        <w:t xml:space="preserve">. </w:t>
      </w:r>
      <w:r w:rsidR="002D6D35">
        <w:rPr>
          <w:sz w:val="22"/>
          <w:szCs w:val="22"/>
          <w:lang w:val="en-US"/>
        </w:rPr>
        <w:t>The reference point for the measurement is set at BLER=10</w:t>
      </w:r>
      <w:r w:rsidR="002D6D35" w:rsidRPr="002D6D35">
        <w:rPr>
          <w:sz w:val="22"/>
          <w:szCs w:val="22"/>
          <w:vertAlign w:val="superscript"/>
          <w:lang w:val="en-US"/>
        </w:rPr>
        <w:t>-1</w:t>
      </w:r>
      <w:r w:rsidR="002D6D35">
        <w:rPr>
          <w:sz w:val="22"/>
          <w:szCs w:val="22"/>
          <w:lang w:val="en-US"/>
        </w:rPr>
        <w:t xml:space="preserve"> and BLER=10</w:t>
      </w:r>
      <w:r w:rsidR="002D6D35" w:rsidRPr="002D6D35">
        <w:rPr>
          <w:sz w:val="22"/>
          <w:szCs w:val="22"/>
          <w:vertAlign w:val="superscript"/>
          <w:lang w:val="en-US"/>
        </w:rPr>
        <w:t>-2</w:t>
      </w:r>
      <w:r w:rsidR="002D6D35">
        <w:rPr>
          <w:sz w:val="22"/>
          <w:szCs w:val="22"/>
          <w:lang w:val="en-US"/>
        </w:rPr>
        <w:t xml:space="preserve">. </w:t>
      </w:r>
      <w:r w:rsidR="00817255">
        <w:rPr>
          <w:sz w:val="22"/>
          <w:szCs w:val="22"/>
          <w:lang w:val="en-US"/>
        </w:rPr>
        <w:t xml:space="preserve">As shown in </w:t>
      </w:r>
      <w:r w:rsidR="002D6D35">
        <w:rPr>
          <w:sz w:val="22"/>
          <w:szCs w:val="22"/>
          <w:lang w:val="en-US"/>
        </w:rPr>
        <w:t>the figure</w:t>
      </w:r>
      <w:r w:rsidR="00817255">
        <w:rPr>
          <w:sz w:val="22"/>
          <w:szCs w:val="22"/>
          <w:lang w:val="en-US"/>
        </w:rPr>
        <w:t xml:space="preserve">, </w:t>
      </w:r>
      <w:r w:rsidR="002D6D35" w:rsidRPr="00CB5E07">
        <w:rPr>
          <w:sz w:val="22"/>
          <w:szCs w:val="22"/>
          <w:lang w:val="en-US"/>
        </w:rPr>
        <w:t xml:space="preserve">when </w:t>
      </w:r>
      <w:r w:rsidR="002D6D35">
        <w:rPr>
          <w:sz w:val="22"/>
          <w:szCs w:val="22"/>
          <w:lang w:val="en-US"/>
        </w:rPr>
        <w:t xml:space="preserve">there are </w:t>
      </w:r>
      <w:r w:rsidR="002D6D35" w:rsidRPr="00CB5E07">
        <w:rPr>
          <w:sz w:val="22"/>
          <w:szCs w:val="22"/>
          <w:lang w:val="en-US"/>
        </w:rPr>
        <w:t xml:space="preserve">six users </w:t>
      </w:r>
      <w:r w:rsidR="002D6D35">
        <w:rPr>
          <w:sz w:val="22"/>
          <w:szCs w:val="22"/>
          <w:lang w:val="en-US"/>
        </w:rPr>
        <w:t xml:space="preserve">in the system, </w:t>
      </w:r>
      <w:r w:rsidR="00817255">
        <w:rPr>
          <w:sz w:val="22"/>
          <w:szCs w:val="22"/>
          <w:lang w:val="en-US"/>
        </w:rPr>
        <w:t>t</w:t>
      </w:r>
      <w:r w:rsidRPr="00CB5E07">
        <w:rPr>
          <w:sz w:val="22"/>
          <w:szCs w:val="22"/>
          <w:lang w:val="en-US"/>
        </w:rPr>
        <w:t>here is about 2</w:t>
      </w:r>
      <w:r>
        <w:rPr>
          <w:sz w:val="22"/>
          <w:szCs w:val="22"/>
          <w:lang w:val="en-US"/>
        </w:rPr>
        <w:t>.25</w:t>
      </w:r>
      <w:r w:rsidRPr="00CB5E07">
        <w:rPr>
          <w:sz w:val="22"/>
          <w:szCs w:val="22"/>
          <w:lang w:val="en-US"/>
        </w:rPr>
        <w:t xml:space="preserve"> dB degradation from the </w:t>
      </w:r>
      <w:r w:rsidR="002D6D35">
        <w:rPr>
          <w:sz w:val="22"/>
          <w:szCs w:val="22"/>
          <w:lang w:val="en-US"/>
        </w:rPr>
        <w:t xml:space="preserve">required SNR for the </w:t>
      </w:r>
      <w:r w:rsidRPr="00CB5E07">
        <w:rPr>
          <w:sz w:val="22"/>
          <w:szCs w:val="22"/>
          <w:lang w:val="en-US"/>
        </w:rPr>
        <w:t xml:space="preserve">single user case. </w:t>
      </w:r>
      <w:r w:rsidR="002D6D35">
        <w:rPr>
          <w:sz w:val="22"/>
          <w:szCs w:val="22"/>
          <w:lang w:val="en-US"/>
        </w:rPr>
        <w:t>As such, e</w:t>
      </w:r>
      <w:r w:rsidRPr="00CB5E07">
        <w:rPr>
          <w:sz w:val="22"/>
          <w:szCs w:val="22"/>
          <w:lang w:val="en-US"/>
        </w:rPr>
        <w:t>ven with the multiuser interference, the operating region remains at low SNRs and the system is still able to perform successful decoding of multiple users</w:t>
      </w:r>
      <w:r>
        <w:rPr>
          <w:sz w:val="22"/>
          <w:szCs w:val="22"/>
          <w:lang w:val="en-US"/>
        </w:rPr>
        <w:t xml:space="preserve"> without showing an error floor. </w:t>
      </w:r>
    </w:p>
    <w:p w14:paraId="5264F078" w14:textId="77777777" w:rsidR="005732C1" w:rsidRPr="00CB5E07" w:rsidRDefault="005732C1" w:rsidP="008B795F">
      <w:pPr>
        <w:ind w:firstLine="288"/>
        <w:jc w:val="both"/>
        <w:rPr>
          <w:sz w:val="22"/>
          <w:szCs w:val="22"/>
          <w:lang w:val="en-US"/>
        </w:rPr>
      </w:pPr>
    </w:p>
    <w:p w14:paraId="66B674BF" w14:textId="65856473" w:rsidR="009C7894" w:rsidRDefault="005E0ECF" w:rsidP="00240B75">
      <w:pPr>
        <w:keepNext/>
        <w:ind w:firstLine="288"/>
        <w:jc w:val="center"/>
      </w:pPr>
      <w:r w:rsidRPr="005E0ECF">
        <w:rPr>
          <w:noProof/>
          <w:lang w:val="en-US"/>
        </w:rPr>
        <w:lastRenderedPageBreak/>
        <w:drawing>
          <wp:inline distT="0" distB="0" distL="0" distR="0" wp14:anchorId="496B8F3B" wp14:editId="5721FF19">
            <wp:extent cx="4489704" cy="3282696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9704" cy="328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A810B" w14:textId="7EAA88E8" w:rsidR="009C7894" w:rsidRDefault="009C7894" w:rsidP="009C789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61B51">
        <w:rPr>
          <w:noProof/>
        </w:rPr>
        <w:t>1</w:t>
      </w:r>
      <w:r>
        <w:fldChar w:fldCharType="end"/>
      </w:r>
      <w:r>
        <w:t xml:space="preserve"> AWGN performance of IDMA</w:t>
      </w:r>
    </w:p>
    <w:p w14:paraId="2C80B7CA" w14:textId="438D33C9" w:rsidR="00961B51" w:rsidRDefault="008343F4" w:rsidP="00240B75">
      <w:pPr>
        <w:keepNext/>
        <w:jc w:val="center"/>
      </w:pPr>
      <w:r w:rsidRPr="008343F4">
        <w:t xml:space="preserve"> </w:t>
      </w:r>
      <w:r w:rsidR="005E0ECF" w:rsidRPr="005E0ECF">
        <w:rPr>
          <w:noProof/>
          <w:lang w:val="en-US"/>
        </w:rPr>
        <w:drawing>
          <wp:inline distT="0" distB="0" distL="0" distR="0" wp14:anchorId="1B087CF0" wp14:editId="2B70956D">
            <wp:extent cx="4416552" cy="3300984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6552" cy="330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400C" w:rsidRPr="00FE400C">
        <w:t xml:space="preserve"> </w:t>
      </w:r>
    </w:p>
    <w:p w14:paraId="7AEF5556" w14:textId="3437F14C" w:rsidR="00961B51" w:rsidRPr="00961B51" w:rsidRDefault="00961B51" w:rsidP="00961B5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SNR degradation at 10% and 1% BLER in AWGN</w:t>
      </w:r>
    </w:p>
    <w:p w14:paraId="44BDA5E6" w14:textId="77777777" w:rsidR="0015034F" w:rsidRDefault="0015034F" w:rsidP="0015034F">
      <w:pPr>
        <w:ind w:firstLine="288"/>
        <w:jc w:val="both"/>
        <w:rPr>
          <w:sz w:val="22"/>
          <w:szCs w:val="22"/>
          <w:lang w:val="en-US"/>
        </w:rPr>
      </w:pPr>
    </w:p>
    <w:p w14:paraId="511E7B00" w14:textId="4B8060DE" w:rsidR="0015034F" w:rsidRPr="00CB5E07" w:rsidRDefault="0015034F" w:rsidP="0015034F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Figures 3 and 4</w:t>
      </w:r>
      <w:r w:rsidRPr="00CB5E07">
        <w:rPr>
          <w:sz w:val="22"/>
          <w:szCs w:val="22"/>
          <w:lang w:val="en-US"/>
        </w:rPr>
        <w:t xml:space="preserve"> show the performance of IDMA in fading channels: TDL-A and TDL-C, respectively. </w:t>
      </w:r>
      <w:r w:rsidR="00546E3E">
        <w:rPr>
          <w:sz w:val="22"/>
          <w:szCs w:val="22"/>
          <w:lang w:val="en-US"/>
        </w:rPr>
        <w:t xml:space="preserve">The overall performance </w:t>
      </w:r>
      <w:r w:rsidR="00281214">
        <w:rPr>
          <w:sz w:val="22"/>
          <w:szCs w:val="22"/>
          <w:lang w:val="en-US"/>
        </w:rPr>
        <w:t>seems to be</w:t>
      </w:r>
      <w:r w:rsidR="00546E3E">
        <w:rPr>
          <w:sz w:val="22"/>
          <w:szCs w:val="22"/>
          <w:lang w:val="en-US"/>
        </w:rPr>
        <w:t xml:space="preserve"> about 4 dB worse than the AWGN results. Furthermore, unlike the AWGN case, the </w:t>
      </w:r>
      <w:r w:rsidRPr="00CB5E07">
        <w:rPr>
          <w:sz w:val="22"/>
          <w:szCs w:val="22"/>
          <w:lang w:val="en-US"/>
        </w:rPr>
        <w:t xml:space="preserve">performance with multiple users </w:t>
      </w:r>
      <w:r w:rsidR="00546E3E">
        <w:rPr>
          <w:sz w:val="22"/>
          <w:szCs w:val="22"/>
          <w:lang w:val="en-US"/>
        </w:rPr>
        <w:t>seems very close to the performance of</w:t>
      </w:r>
      <w:r w:rsidRPr="00CB5E07">
        <w:rPr>
          <w:sz w:val="22"/>
          <w:szCs w:val="22"/>
          <w:lang w:val="en-US"/>
        </w:rPr>
        <w:t xml:space="preserve"> the single user </w:t>
      </w:r>
      <w:r w:rsidR="00546E3E">
        <w:rPr>
          <w:sz w:val="22"/>
          <w:szCs w:val="22"/>
          <w:lang w:val="en-US"/>
        </w:rPr>
        <w:t>case</w:t>
      </w:r>
      <w:r w:rsidRPr="00CB5E07">
        <w:rPr>
          <w:sz w:val="22"/>
          <w:szCs w:val="22"/>
          <w:lang w:val="en-US"/>
        </w:rPr>
        <w:t xml:space="preserve">. </w:t>
      </w:r>
      <w:r w:rsidR="00281214">
        <w:rPr>
          <w:sz w:val="22"/>
          <w:szCs w:val="22"/>
          <w:lang w:val="en-US"/>
        </w:rPr>
        <w:t>This may be attributed to the additional frequency selective diversity gain that can be observed with dispersive channel. In other words, d</w:t>
      </w:r>
      <w:r w:rsidRPr="00CB5E07">
        <w:rPr>
          <w:sz w:val="22"/>
          <w:szCs w:val="22"/>
          <w:lang w:val="en-US"/>
        </w:rPr>
        <w:t xml:space="preserve">ue to the </w:t>
      </w:r>
      <w:r w:rsidR="00281214">
        <w:rPr>
          <w:sz w:val="22"/>
          <w:szCs w:val="22"/>
          <w:lang w:val="en-US"/>
        </w:rPr>
        <w:t xml:space="preserve">inherent </w:t>
      </w:r>
      <w:r w:rsidRPr="00CB5E07">
        <w:rPr>
          <w:sz w:val="22"/>
          <w:szCs w:val="22"/>
          <w:lang w:val="en-US"/>
        </w:rPr>
        <w:t xml:space="preserve">spreading operation provided by IDMA, the information bits are </w:t>
      </w:r>
      <w:r w:rsidR="00281214" w:rsidRPr="00CB5E07">
        <w:rPr>
          <w:sz w:val="22"/>
          <w:szCs w:val="22"/>
          <w:lang w:val="en-US"/>
        </w:rPr>
        <w:t xml:space="preserve">scrambled </w:t>
      </w:r>
      <w:r w:rsidR="00281214">
        <w:rPr>
          <w:sz w:val="22"/>
          <w:szCs w:val="22"/>
          <w:lang w:val="en-US"/>
        </w:rPr>
        <w:t xml:space="preserve">and </w:t>
      </w:r>
      <w:r w:rsidRPr="00CB5E07">
        <w:rPr>
          <w:sz w:val="22"/>
          <w:szCs w:val="22"/>
          <w:lang w:val="en-US"/>
        </w:rPr>
        <w:t xml:space="preserve">spread out over </w:t>
      </w:r>
      <w:r w:rsidRPr="00CB5E07">
        <w:rPr>
          <w:sz w:val="22"/>
          <w:szCs w:val="22"/>
          <w:lang w:val="en-US"/>
        </w:rPr>
        <w:lastRenderedPageBreak/>
        <w:t xml:space="preserve">multiple coded bits. </w:t>
      </w:r>
      <w:r w:rsidR="00281214">
        <w:rPr>
          <w:sz w:val="22"/>
          <w:szCs w:val="22"/>
          <w:lang w:val="en-US"/>
        </w:rPr>
        <w:t>Since, t</w:t>
      </w:r>
      <w:r w:rsidRPr="00CB5E07">
        <w:rPr>
          <w:sz w:val="22"/>
          <w:szCs w:val="22"/>
          <w:lang w:val="en-US"/>
        </w:rPr>
        <w:t xml:space="preserve">he </w:t>
      </w:r>
      <w:r w:rsidR="00281214">
        <w:rPr>
          <w:sz w:val="22"/>
          <w:szCs w:val="22"/>
          <w:lang w:val="en-US"/>
        </w:rPr>
        <w:t xml:space="preserve">chips are mapped onto the 6 RBs, </w:t>
      </w:r>
      <w:r w:rsidRPr="00CB5E07">
        <w:rPr>
          <w:sz w:val="22"/>
          <w:szCs w:val="22"/>
          <w:lang w:val="en-US"/>
        </w:rPr>
        <w:t xml:space="preserve">the receiver decoding benefits from the frequency diversity available in the fading channel. </w:t>
      </w:r>
      <w:r w:rsidR="00281214">
        <w:rPr>
          <w:sz w:val="22"/>
          <w:szCs w:val="22"/>
          <w:lang w:val="en-US"/>
        </w:rPr>
        <w:t xml:space="preserve">For example, even </w:t>
      </w:r>
      <w:r w:rsidR="00281214" w:rsidRPr="005E0ECF">
        <w:rPr>
          <w:sz w:val="22"/>
          <w:szCs w:val="22"/>
          <w:lang w:val="en-US"/>
        </w:rPr>
        <w:t>a</w:t>
      </w:r>
      <w:r w:rsidRPr="005E0ECF">
        <w:rPr>
          <w:sz w:val="22"/>
          <w:szCs w:val="22"/>
          <w:lang w:val="en-US"/>
        </w:rPr>
        <w:t xml:space="preserve">t 10 users we </w:t>
      </w:r>
      <w:r w:rsidR="00281214" w:rsidRPr="005E0ECF">
        <w:rPr>
          <w:sz w:val="22"/>
          <w:szCs w:val="22"/>
          <w:lang w:val="en-US"/>
        </w:rPr>
        <w:t>only</w:t>
      </w:r>
      <w:r w:rsidRPr="005E0ECF">
        <w:rPr>
          <w:sz w:val="22"/>
          <w:szCs w:val="22"/>
          <w:lang w:val="en-US"/>
        </w:rPr>
        <w:t xml:space="preserve"> see a slight degradation in performance</w:t>
      </w:r>
      <w:r w:rsidR="00281214" w:rsidRPr="005E0ECF">
        <w:rPr>
          <w:sz w:val="22"/>
          <w:szCs w:val="22"/>
          <w:lang w:val="en-US"/>
        </w:rPr>
        <w:t xml:space="preserve"> due to interference</w:t>
      </w:r>
      <w:r w:rsidRPr="005E0ECF">
        <w:rPr>
          <w:sz w:val="22"/>
          <w:szCs w:val="22"/>
          <w:lang w:val="en-US"/>
        </w:rPr>
        <w:t xml:space="preserve">. </w:t>
      </w:r>
      <w:r w:rsidR="00281214" w:rsidRPr="005E0ECF">
        <w:rPr>
          <w:sz w:val="22"/>
          <w:szCs w:val="22"/>
          <w:lang w:val="en-US"/>
        </w:rPr>
        <w:t>The presented results, indicate</w:t>
      </w:r>
      <w:r w:rsidR="00281214">
        <w:rPr>
          <w:sz w:val="22"/>
          <w:szCs w:val="22"/>
          <w:lang w:val="en-US"/>
        </w:rPr>
        <w:t xml:space="preserve"> that </w:t>
      </w:r>
      <w:r w:rsidRPr="00CB5E07">
        <w:rPr>
          <w:sz w:val="22"/>
          <w:szCs w:val="22"/>
          <w:lang w:val="en-US"/>
        </w:rPr>
        <w:t xml:space="preserve">IDMA </w:t>
      </w:r>
      <w:r w:rsidR="00281214">
        <w:rPr>
          <w:sz w:val="22"/>
          <w:szCs w:val="22"/>
          <w:lang w:val="en-US"/>
        </w:rPr>
        <w:t xml:space="preserve">can </w:t>
      </w:r>
      <w:r w:rsidRPr="00CB5E07">
        <w:rPr>
          <w:sz w:val="22"/>
          <w:szCs w:val="22"/>
          <w:lang w:val="en-US"/>
        </w:rPr>
        <w:t xml:space="preserve">provide </w:t>
      </w:r>
      <w:r w:rsidR="008D1A1A">
        <w:rPr>
          <w:sz w:val="22"/>
          <w:szCs w:val="22"/>
          <w:lang w:val="en-US"/>
        </w:rPr>
        <w:t>a significant</w:t>
      </w:r>
      <w:r w:rsidRPr="00CB5E07">
        <w:rPr>
          <w:sz w:val="22"/>
          <w:szCs w:val="22"/>
          <w:lang w:val="en-US"/>
        </w:rPr>
        <w:t xml:space="preserve"> overloading capability to handle multiple users without performance degradation </w:t>
      </w:r>
      <w:r>
        <w:rPr>
          <w:sz w:val="22"/>
          <w:szCs w:val="22"/>
          <w:lang w:val="en-US"/>
        </w:rPr>
        <w:t xml:space="preserve">in realistic fading conditions. </w:t>
      </w:r>
    </w:p>
    <w:p w14:paraId="4D93E56A" w14:textId="6AC7D21B" w:rsidR="00D7213C" w:rsidRDefault="00D7213C" w:rsidP="00240B75">
      <w:pPr>
        <w:keepNext/>
        <w:jc w:val="center"/>
      </w:pPr>
      <w:r w:rsidRPr="005D538E">
        <w:rPr>
          <w:noProof/>
          <w:lang w:val="en-US"/>
        </w:rPr>
        <w:drawing>
          <wp:inline distT="0" distB="0" distL="0" distR="0" wp14:anchorId="0ED43DBD" wp14:editId="7F512CBC">
            <wp:extent cx="4489704" cy="3282696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9704" cy="328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9901E" w14:textId="5A50E27B" w:rsidR="009C7894" w:rsidRDefault="009C7894" w:rsidP="009C789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61B51">
        <w:rPr>
          <w:noProof/>
        </w:rPr>
        <w:t>3</w:t>
      </w:r>
      <w:r>
        <w:fldChar w:fldCharType="end"/>
      </w:r>
      <w:r>
        <w:t xml:space="preserve"> IDMA performance in TDL-A fading channel</w:t>
      </w:r>
    </w:p>
    <w:p w14:paraId="4EB20A01" w14:textId="7A627F68" w:rsidR="009C7894" w:rsidRDefault="00D7213C" w:rsidP="00D7213C">
      <w:pPr>
        <w:jc w:val="center"/>
        <w:rPr>
          <w:lang w:val="en-US"/>
        </w:rPr>
      </w:pPr>
      <w:r w:rsidRPr="00E20B84">
        <w:rPr>
          <w:noProof/>
          <w:lang w:val="en-US"/>
        </w:rPr>
        <w:drawing>
          <wp:inline distT="0" distB="0" distL="0" distR="0" wp14:anchorId="2FBEACFF" wp14:editId="40FF81FC">
            <wp:extent cx="4489704" cy="3282696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9704" cy="328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AD44D" w14:textId="25A9E49C" w:rsidR="009C7894" w:rsidRPr="00137508" w:rsidRDefault="005D538E" w:rsidP="00D7213C">
      <w:pPr>
        <w:keepNext/>
        <w:jc w:val="center"/>
        <w:rPr>
          <w:b/>
        </w:rPr>
      </w:pPr>
      <w:r w:rsidRPr="005D538E">
        <w:rPr>
          <w:noProof/>
          <w:lang w:val="en-US"/>
        </w:rPr>
        <w:t xml:space="preserve">  </w:t>
      </w:r>
      <w:r w:rsidR="00387C7B" w:rsidRPr="00387C7B">
        <w:rPr>
          <w:noProof/>
          <w:lang w:val="en-US"/>
        </w:rPr>
        <w:t xml:space="preserve"> </w:t>
      </w:r>
      <w:r w:rsidR="00054EC3" w:rsidRPr="00137508">
        <w:rPr>
          <w:b/>
        </w:rPr>
        <w:t xml:space="preserve">Figure </w:t>
      </w:r>
      <w:r w:rsidR="00054EC3" w:rsidRPr="00137508">
        <w:rPr>
          <w:b/>
        </w:rPr>
        <w:fldChar w:fldCharType="begin"/>
      </w:r>
      <w:r w:rsidR="00054EC3" w:rsidRPr="00137508">
        <w:rPr>
          <w:b/>
        </w:rPr>
        <w:instrText xml:space="preserve"> SEQ Figure \* ARABIC </w:instrText>
      </w:r>
      <w:r w:rsidR="00054EC3" w:rsidRPr="00137508">
        <w:rPr>
          <w:b/>
        </w:rPr>
        <w:fldChar w:fldCharType="separate"/>
      </w:r>
      <w:r w:rsidR="00961B51" w:rsidRPr="00137508">
        <w:rPr>
          <w:b/>
          <w:noProof/>
        </w:rPr>
        <w:t>4</w:t>
      </w:r>
      <w:r w:rsidR="00054EC3" w:rsidRPr="00137508">
        <w:rPr>
          <w:b/>
        </w:rPr>
        <w:fldChar w:fldCharType="end"/>
      </w:r>
      <w:r w:rsidR="00054EC3" w:rsidRPr="00137508">
        <w:rPr>
          <w:b/>
        </w:rPr>
        <w:t xml:space="preserve"> IDMA performance in TDL-C fading channel</w:t>
      </w:r>
    </w:p>
    <w:p w14:paraId="0A353B6A" w14:textId="38A33D4D" w:rsidR="00F4759D" w:rsidRDefault="00F4759D" w:rsidP="00F4759D">
      <w:pPr>
        <w:rPr>
          <w:lang w:val="en-US"/>
        </w:rPr>
      </w:pPr>
    </w:p>
    <w:p w14:paraId="2642D941" w14:textId="77777777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Conclusions</w:t>
      </w:r>
    </w:p>
    <w:p w14:paraId="7EDC858F" w14:textId="61954650" w:rsidR="00E57A8F" w:rsidRDefault="0020001D" w:rsidP="008D6684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</w:t>
      </w:r>
      <w:r w:rsidR="00546E3E" w:rsidRPr="0020001D">
        <w:rPr>
          <w:sz w:val="22"/>
          <w:szCs w:val="22"/>
          <w:lang w:eastAsia="zh-CN"/>
        </w:rPr>
        <w:t>contribution,</w:t>
      </w:r>
      <w:r w:rsidRPr="0020001D">
        <w:rPr>
          <w:sz w:val="22"/>
          <w:szCs w:val="22"/>
          <w:lang w:eastAsia="zh-CN"/>
        </w:rPr>
        <w:t xml:space="preserve"> we </w:t>
      </w:r>
      <w:r w:rsidR="008D6684">
        <w:rPr>
          <w:sz w:val="22"/>
          <w:szCs w:val="22"/>
          <w:lang w:eastAsia="zh-CN"/>
        </w:rPr>
        <w:t xml:space="preserve">provided initial link level simulation results of IDMA and showed its overloading capability in AWGN and fading channels. </w:t>
      </w:r>
    </w:p>
    <w:p w14:paraId="36B748B9" w14:textId="77777777" w:rsidR="00954661" w:rsidRPr="008D6684" w:rsidRDefault="00954661" w:rsidP="008D6684">
      <w:pPr>
        <w:ind w:firstLine="360"/>
        <w:jc w:val="both"/>
        <w:rPr>
          <w:sz w:val="22"/>
          <w:szCs w:val="22"/>
          <w:lang w:eastAsia="zh-CN"/>
        </w:rPr>
      </w:pP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0B8EAEC" w14:textId="77777777" w:rsidR="001051ED" w:rsidRPr="0023469B" w:rsidRDefault="001051ED" w:rsidP="001051ED">
      <w:pPr>
        <w:pStyle w:val="References"/>
        <w:numPr>
          <w:ilvl w:val="0"/>
          <w:numId w:val="2"/>
        </w:numPr>
        <w:rPr>
          <w:sz w:val="22"/>
        </w:rPr>
      </w:pPr>
      <w:r>
        <w:rPr>
          <w:sz w:val="22"/>
          <w:szCs w:val="22"/>
          <w:lang w:eastAsia="zh-CN"/>
        </w:rPr>
        <w:t xml:space="preserve">R1-1611251, “Summary of simulation results for NR MA”, </w:t>
      </w:r>
      <w:r w:rsidRPr="0023469B">
        <w:rPr>
          <w:sz w:val="22"/>
        </w:rPr>
        <w:t xml:space="preserve">Huawei, </w:t>
      </w:r>
      <w:proofErr w:type="spellStart"/>
      <w:r w:rsidRPr="0023469B">
        <w:rPr>
          <w:sz w:val="22"/>
        </w:rPr>
        <w:t>HiSilicon</w:t>
      </w:r>
      <w:proofErr w:type="spellEnd"/>
      <w:r w:rsidRPr="0023469B">
        <w:rPr>
          <w:sz w:val="22"/>
        </w:rPr>
        <w:t>, 3GPP TSG RAN WG1 Meeting #8</w:t>
      </w:r>
      <w:r>
        <w:rPr>
          <w:sz w:val="22"/>
        </w:rPr>
        <w:t>7</w:t>
      </w:r>
      <w:r w:rsidRPr="0023469B">
        <w:rPr>
          <w:sz w:val="22"/>
        </w:rPr>
        <w:t xml:space="preserve">, </w:t>
      </w:r>
      <w:r>
        <w:rPr>
          <w:sz w:val="22"/>
        </w:rPr>
        <w:t>November</w:t>
      </w:r>
      <w:r w:rsidRPr="0023469B">
        <w:rPr>
          <w:sz w:val="22"/>
        </w:rPr>
        <w:t xml:space="preserve"> 2016, Lisbon, Portugal</w:t>
      </w:r>
    </w:p>
    <w:p w14:paraId="5E709BCF" w14:textId="77777777" w:rsidR="002C00FA" w:rsidRPr="0021084B" w:rsidRDefault="002C00FA" w:rsidP="002C00FA">
      <w:pPr>
        <w:pStyle w:val="References"/>
        <w:numPr>
          <w:ilvl w:val="0"/>
          <w:numId w:val="2"/>
        </w:numPr>
        <w:rPr>
          <w:rFonts w:eastAsia="MS Mincho"/>
          <w:iCs/>
          <w:sz w:val="22"/>
          <w:szCs w:val="22"/>
          <w:lang w:eastAsia="ja-JP"/>
        </w:rPr>
      </w:pPr>
      <w:r w:rsidRPr="0021084B">
        <w:rPr>
          <w:sz w:val="22"/>
          <w:szCs w:val="22"/>
          <w:lang w:eastAsia="zh-CN"/>
        </w:rPr>
        <w:t>RP-171043, “</w:t>
      </w:r>
      <w:r w:rsidRPr="0021084B">
        <w:rPr>
          <w:sz w:val="22"/>
          <w:szCs w:val="22"/>
        </w:rPr>
        <w:t>Revision of Study on 5G Non-Orthogonal Multiple Access</w:t>
      </w:r>
      <w:r w:rsidRPr="0021084B">
        <w:rPr>
          <w:sz w:val="22"/>
          <w:szCs w:val="22"/>
          <w:lang w:eastAsia="zh-CN"/>
        </w:rPr>
        <w:t>”, RAN#76, West Palm Beach, USA, June 5-8, 2017.</w:t>
      </w:r>
    </w:p>
    <w:p w14:paraId="20410863" w14:textId="2C6E6BE2" w:rsidR="001051ED" w:rsidRPr="0021084B" w:rsidRDefault="001051ED" w:rsidP="001051ED">
      <w:pPr>
        <w:pStyle w:val="References"/>
        <w:numPr>
          <w:ilvl w:val="0"/>
          <w:numId w:val="2"/>
        </w:numPr>
        <w:rPr>
          <w:rFonts w:eastAsia="MS Mincho"/>
          <w:iCs/>
          <w:sz w:val="22"/>
          <w:szCs w:val="22"/>
          <w:lang w:eastAsia="ja-JP"/>
        </w:rPr>
      </w:pPr>
      <w:r>
        <w:rPr>
          <w:rFonts w:eastAsia="MS Mincho"/>
          <w:iCs/>
          <w:sz w:val="22"/>
          <w:szCs w:val="22"/>
          <w:lang w:eastAsia="ja-JP"/>
        </w:rPr>
        <w:t>R1-18</w:t>
      </w:r>
      <w:r w:rsidR="002A398E">
        <w:rPr>
          <w:rFonts w:eastAsia="MS Mincho"/>
          <w:iCs/>
          <w:sz w:val="22"/>
          <w:szCs w:val="22"/>
          <w:lang w:eastAsia="ja-JP"/>
        </w:rPr>
        <w:t>02633</w:t>
      </w:r>
      <w:r>
        <w:rPr>
          <w:rFonts w:eastAsia="MS Mincho"/>
          <w:iCs/>
          <w:sz w:val="22"/>
          <w:szCs w:val="22"/>
          <w:lang w:eastAsia="ja-JP"/>
        </w:rPr>
        <w:t xml:space="preserve">, “IDMA Transmitter Processing”, InterDigital Inc., </w:t>
      </w:r>
      <w:r w:rsidRPr="0023469B">
        <w:rPr>
          <w:sz w:val="22"/>
        </w:rPr>
        <w:t>3GPP TSG RAN WG1 Meeting #</w:t>
      </w:r>
      <w:r>
        <w:rPr>
          <w:sz w:val="22"/>
        </w:rPr>
        <w:t>92, February 201</w:t>
      </w:r>
      <w:r w:rsidR="002C00FA">
        <w:rPr>
          <w:sz w:val="22"/>
        </w:rPr>
        <w:t>8</w:t>
      </w:r>
      <w:r>
        <w:rPr>
          <w:sz w:val="22"/>
        </w:rPr>
        <w:t>, Athens, Greece.</w:t>
      </w:r>
    </w:p>
    <w:p w14:paraId="5423EF88" w14:textId="232D9345" w:rsidR="001051ED" w:rsidRPr="0021084B" w:rsidRDefault="001051ED" w:rsidP="001051ED">
      <w:pPr>
        <w:pStyle w:val="References"/>
        <w:numPr>
          <w:ilvl w:val="0"/>
          <w:numId w:val="2"/>
        </w:numPr>
        <w:rPr>
          <w:rFonts w:eastAsia="MS Mincho"/>
          <w:iCs/>
          <w:sz w:val="22"/>
          <w:szCs w:val="22"/>
          <w:lang w:eastAsia="ja-JP"/>
        </w:rPr>
      </w:pPr>
      <w:r>
        <w:rPr>
          <w:rFonts w:eastAsia="MS Mincho"/>
          <w:iCs/>
          <w:sz w:val="22"/>
          <w:szCs w:val="22"/>
          <w:lang w:eastAsia="ja-JP"/>
        </w:rPr>
        <w:t>R1-18</w:t>
      </w:r>
      <w:r w:rsidR="002A398E">
        <w:rPr>
          <w:rFonts w:eastAsia="MS Mincho"/>
          <w:iCs/>
          <w:sz w:val="22"/>
          <w:szCs w:val="22"/>
          <w:lang w:eastAsia="ja-JP"/>
        </w:rPr>
        <w:t>02634</w:t>
      </w:r>
      <w:r>
        <w:rPr>
          <w:rFonts w:eastAsia="MS Mincho"/>
          <w:iCs/>
          <w:sz w:val="22"/>
          <w:szCs w:val="22"/>
          <w:lang w:eastAsia="ja-JP"/>
        </w:rPr>
        <w:t xml:space="preserve">, “IDMA Receiver Processing”, InterDigital Inc., </w:t>
      </w:r>
      <w:r w:rsidRPr="0023469B">
        <w:rPr>
          <w:sz w:val="22"/>
        </w:rPr>
        <w:t>3GPP TSG RAN WG1 Meeting #</w:t>
      </w:r>
      <w:r>
        <w:rPr>
          <w:sz w:val="22"/>
        </w:rPr>
        <w:t>92, February 201</w:t>
      </w:r>
      <w:r w:rsidR="002C00FA">
        <w:rPr>
          <w:sz w:val="22"/>
        </w:rPr>
        <w:t>8</w:t>
      </w:r>
      <w:r>
        <w:rPr>
          <w:sz w:val="22"/>
        </w:rPr>
        <w:t>, Athens, Greece.</w:t>
      </w:r>
    </w:p>
    <w:p w14:paraId="328D1132" w14:textId="13286359" w:rsidR="00A91982" w:rsidRDefault="00A91982" w:rsidP="00A91982">
      <w:pPr>
        <w:pStyle w:val="References"/>
        <w:numPr>
          <w:ilvl w:val="0"/>
          <w:numId w:val="0"/>
        </w:numPr>
        <w:rPr>
          <w:rFonts w:eastAsia="MS Mincho"/>
          <w:iCs/>
          <w:lang w:eastAsia="ja-JP"/>
        </w:rPr>
      </w:pPr>
    </w:p>
    <w:p w14:paraId="0F780070" w14:textId="5F89E977" w:rsidR="00954661" w:rsidRDefault="00954661" w:rsidP="00A91982">
      <w:pPr>
        <w:pStyle w:val="References"/>
        <w:numPr>
          <w:ilvl w:val="0"/>
          <w:numId w:val="0"/>
        </w:numPr>
        <w:rPr>
          <w:rFonts w:eastAsia="MS Mincho"/>
          <w:iCs/>
          <w:lang w:eastAsia="ja-JP"/>
        </w:rPr>
      </w:pPr>
    </w:p>
    <w:p w14:paraId="48CE5604" w14:textId="77777777" w:rsidR="00954661" w:rsidRPr="00B12CCD" w:rsidRDefault="00954661" w:rsidP="00A91982">
      <w:pPr>
        <w:pStyle w:val="References"/>
        <w:numPr>
          <w:ilvl w:val="0"/>
          <w:numId w:val="0"/>
        </w:numPr>
        <w:rPr>
          <w:rFonts w:eastAsia="MS Mincho"/>
          <w:iCs/>
          <w:lang w:eastAsia="ja-JP"/>
        </w:rPr>
      </w:pPr>
    </w:p>
    <w:p w14:paraId="694A879E" w14:textId="709F1494" w:rsidR="00E847A2" w:rsidRDefault="00AC1E4A" w:rsidP="00AC1E4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 </w:t>
      </w:r>
      <w:r w:rsidR="00E847A2">
        <w:rPr>
          <w:rFonts w:cs="Arial"/>
          <w:lang w:val="en-US"/>
        </w:rPr>
        <w:t>Appendix</w:t>
      </w:r>
    </w:p>
    <w:p w14:paraId="4B8363BA" w14:textId="420964A9" w:rsidR="004C5BAA" w:rsidRDefault="004C5BAA" w:rsidP="004C5BA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Link level simulation assumptions</w:t>
      </w:r>
    </w:p>
    <w:tbl>
      <w:tblPr>
        <w:tblW w:w="10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8"/>
        <w:gridCol w:w="5528"/>
      </w:tblGrid>
      <w:tr w:rsidR="00C354D1" w14:paraId="3147FFEA" w14:textId="77777777" w:rsidTr="0033578A">
        <w:trPr>
          <w:trHeight w:val="149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BCFFC7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Parameters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39AD3848" w14:textId="77777777" w:rsidR="00C354D1" w:rsidRPr="00895288" w:rsidRDefault="00C354D1" w:rsidP="00C354D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5288">
              <w:rPr>
                <w:rFonts w:ascii="Arial" w:hAnsi="Arial" w:cs="Arial"/>
                <w:b/>
                <w:bCs/>
                <w:sz w:val="18"/>
                <w:szCs w:val="18"/>
              </w:rPr>
              <w:t>mMTC</w:t>
            </w:r>
          </w:p>
        </w:tc>
      </w:tr>
      <w:tr w:rsidR="00C354D1" w14:paraId="1CD8FAE9" w14:textId="77777777" w:rsidTr="0033578A">
        <w:trPr>
          <w:trHeight w:val="209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317905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C7375" w14:textId="77777777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2 GHz</w:t>
            </w:r>
          </w:p>
        </w:tc>
      </w:tr>
      <w:tr w:rsidR="00C354D1" w14:paraId="23DFF56E" w14:textId="77777777" w:rsidTr="0033578A">
        <w:trPr>
          <w:trHeight w:val="610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1E877F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 xml:space="preserve">Waveform </w:t>
            </w:r>
          </w:p>
          <w:p w14:paraId="6D40FE95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(data part)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38619" w14:textId="3948F98E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CP-OFDM</w:t>
            </w:r>
          </w:p>
        </w:tc>
      </w:tr>
      <w:tr w:rsidR="00C354D1" w14:paraId="491289BC" w14:textId="77777777" w:rsidTr="0033578A">
        <w:trPr>
          <w:trHeight w:val="508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D7426C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 xml:space="preserve">Numerology </w:t>
            </w:r>
          </w:p>
          <w:p w14:paraId="1A1C0254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(data part)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202DE" w14:textId="77777777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SCS = 15 kHz, #OS = 14</w:t>
            </w:r>
          </w:p>
        </w:tc>
      </w:tr>
      <w:tr w:rsidR="00C354D1" w14:paraId="4CD3BE92" w14:textId="77777777" w:rsidTr="0033578A">
        <w:trPr>
          <w:trHeight w:val="209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3AC165" w14:textId="77777777" w:rsidR="00C354D1" w:rsidRPr="00895288" w:rsidRDefault="00C354D1" w:rsidP="005C4A73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895288">
              <w:rPr>
                <w:rFonts w:ascii="Arial" w:hAnsi="Arial" w:cs="Arial"/>
                <w:bCs/>
                <w:sz w:val="18"/>
                <w:szCs w:val="18"/>
              </w:rPr>
              <w:t>Channel Coding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A2033" w14:textId="7BCE2DC6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Turbo</w:t>
            </w:r>
            <w:r w:rsidR="00DD47CD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 xml:space="preserve"> 1/3 + Repetition 4</w:t>
            </w:r>
          </w:p>
        </w:tc>
      </w:tr>
      <w:tr w:rsidR="00C354D1" w14:paraId="29CC2D50" w14:textId="77777777" w:rsidTr="0033578A">
        <w:trPr>
          <w:trHeight w:val="752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42BA95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Allocated bandwidth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CD447" w14:textId="767C108C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6 RB</w:t>
            </w:r>
          </w:p>
        </w:tc>
      </w:tr>
      <w:tr w:rsidR="00C354D1" w14:paraId="6AD8974A" w14:textId="77777777" w:rsidTr="0033578A">
        <w:trPr>
          <w:trHeight w:val="1124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F323C4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 xml:space="preserve">Target per UE spectral efficiency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FD78A" w14:textId="3D7FD209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[0.1-0.5]</w:t>
            </w:r>
          </w:p>
        </w:tc>
      </w:tr>
      <w:tr w:rsidR="00C354D1" w14:paraId="012C00AF" w14:textId="77777777" w:rsidTr="0033578A">
        <w:trPr>
          <w:trHeight w:val="409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30F011" w14:textId="77777777" w:rsidR="00C354D1" w:rsidRPr="00895288" w:rsidRDefault="00C354D1" w:rsidP="005C4A73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895288">
              <w:rPr>
                <w:rFonts w:ascii="Arial" w:hAnsi="Arial" w:cs="Arial"/>
                <w:bCs/>
                <w:sz w:val="18"/>
                <w:szCs w:val="18"/>
              </w:rPr>
              <w:t>Target BLER for one transmission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766B27" w14:textId="77777777" w:rsidR="00C354D1" w:rsidRPr="00895288" w:rsidRDefault="00C354D1" w:rsidP="0033578A">
            <w:pPr>
              <w:shd w:val="clear" w:color="auto" w:fill="FFFFFF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288">
              <w:rPr>
                <w:rFonts w:ascii="Arial" w:hAnsi="Arial" w:cs="Arial"/>
                <w:sz w:val="18"/>
                <w:szCs w:val="18"/>
              </w:rPr>
              <w:t>10%</w:t>
            </w:r>
          </w:p>
        </w:tc>
      </w:tr>
      <w:tr w:rsidR="00C354D1" w14:paraId="4203564B" w14:textId="77777777" w:rsidTr="0033578A">
        <w:trPr>
          <w:trHeight w:val="1040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22E8A2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Number of UEs multiplexed in the same allocated bandwidth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34507" w14:textId="77777777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</w:p>
          <w:p w14:paraId="7DBBE908" w14:textId="26779390" w:rsidR="00C354D1" w:rsidRPr="00895288" w:rsidRDefault="00BA36D5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 xml:space="preserve">From 1 to </w:t>
            </w:r>
            <w:r w:rsidR="00B33E9E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10</w:t>
            </w:r>
          </w:p>
        </w:tc>
      </w:tr>
      <w:tr w:rsidR="00C354D1" w14:paraId="07D38285" w14:textId="77777777" w:rsidTr="0033578A">
        <w:trPr>
          <w:trHeight w:val="409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12401C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BS antenna configuration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0C7C3" w14:textId="43017629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2Rx</w:t>
            </w:r>
          </w:p>
        </w:tc>
      </w:tr>
      <w:tr w:rsidR="00C354D1" w14:paraId="0F3987E5" w14:textId="77777777" w:rsidTr="0033578A">
        <w:trPr>
          <w:trHeight w:val="252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42DF3D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UE antenna configuration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09E4D" w14:textId="77777777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1Tx</w:t>
            </w:r>
          </w:p>
        </w:tc>
      </w:tr>
      <w:tr w:rsidR="00C354D1" w14:paraId="1E90EC86" w14:textId="77777777" w:rsidTr="0033578A">
        <w:trPr>
          <w:trHeight w:val="216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1F1F67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lastRenderedPageBreak/>
              <w:t>Propagation channel &amp; UE velocity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09DBD" w14:textId="1F696FA7" w:rsidR="00C354D1" w:rsidRPr="00895288" w:rsidRDefault="00A70BC4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 xml:space="preserve">AWGN, </w:t>
            </w:r>
            <w:r w:rsidR="00C354D1"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TDL-A 30ns</w:t>
            </w:r>
            <w:r w:rsidR="008D7D1C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,</w:t>
            </w:r>
            <w:r w:rsidR="00C354D1"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 xml:space="preserve"> and TDL-C 300ns in TR38.901, 3km/h</w:t>
            </w:r>
          </w:p>
        </w:tc>
      </w:tr>
      <w:tr w:rsidR="00C354D1" w14:paraId="6EAE1548" w14:textId="77777777" w:rsidTr="0033578A">
        <w:trPr>
          <w:trHeight w:val="409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CE91CB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Max number of HARQ transmission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5793A" w14:textId="76A00E69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1</w:t>
            </w:r>
          </w:p>
        </w:tc>
      </w:tr>
      <w:tr w:rsidR="00C354D1" w14:paraId="06AD50FE" w14:textId="77777777" w:rsidTr="0033578A">
        <w:trPr>
          <w:trHeight w:val="409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736883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Channel estimation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80F10" w14:textId="2A1EDDA3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Ideal</w:t>
            </w:r>
          </w:p>
        </w:tc>
      </w:tr>
      <w:tr w:rsidR="00C354D1" w14:paraId="6EC4FD8D" w14:textId="77777777" w:rsidTr="0033578A">
        <w:trPr>
          <w:trHeight w:val="409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08D21A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MA signature allocation (for data)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10144" w14:textId="2EB86498" w:rsidR="00C354D1" w:rsidRPr="00895288" w:rsidRDefault="00FA15EB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Fixed</w:t>
            </w:r>
          </w:p>
        </w:tc>
      </w:tr>
      <w:tr w:rsidR="00C354D1" w14:paraId="26756053" w14:textId="77777777" w:rsidTr="0033578A">
        <w:trPr>
          <w:trHeight w:val="409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4D8EF6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Timing/frequency offset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26257" w14:textId="43E99C19" w:rsidR="00C354D1" w:rsidRPr="00895288" w:rsidRDefault="00C354D1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0</w:t>
            </w:r>
          </w:p>
        </w:tc>
      </w:tr>
      <w:tr w:rsidR="00C354D1" w14:paraId="0E7CF128" w14:textId="77777777" w:rsidTr="0033578A">
        <w:trPr>
          <w:trHeight w:val="409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FD0B1E" w14:textId="77777777" w:rsidR="00C354D1" w:rsidRPr="00895288" w:rsidRDefault="00C354D1" w:rsidP="005C4A73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 w:rsidRPr="00895288"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Distribution of avg. SNR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AA081" w14:textId="41900310" w:rsidR="00C354D1" w:rsidRPr="00895288" w:rsidRDefault="00D3120D" w:rsidP="0033578A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  <w:t>Equal</w:t>
            </w:r>
          </w:p>
        </w:tc>
      </w:tr>
    </w:tbl>
    <w:p w14:paraId="542B84A5" w14:textId="77777777" w:rsidR="00E847A2" w:rsidRPr="00E847A2" w:rsidRDefault="00E847A2" w:rsidP="00E847A2">
      <w:pPr>
        <w:rPr>
          <w:lang w:val="en-US"/>
        </w:rPr>
      </w:pPr>
    </w:p>
    <w:sectPr w:rsidR="00E847A2" w:rsidRPr="00E847A2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46BA9" w14:textId="77777777" w:rsidR="00B52BF9" w:rsidRDefault="00B52BF9">
      <w:r>
        <w:separator/>
      </w:r>
    </w:p>
  </w:endnote>
  <w:endnote w:type="continuationSeparator" w:id="0">
    <w:p w14:paraId="294287DA" w14:textId="77777777" w:rsidR="00B52BF9" w:rsidRDefault="00B5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A5C08" w14:textId="77777777" w:rsidR="00B52BF9" w:rsidRDefault="00B52BF9">
      <w:r>
        <w:separator/>
      </w:r>
    </w:p>
  </w:footnote>
  <w:footnote w:type="continuationSeparator" w:id="0">
    <w:p w14:paraId="63B3359A" w14:textId="77777777" w:rsidR="00B52BF9" w:rsidRDefault="00B52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8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4DF411C"/>
    <w:multiLevelType w:val="hybridMultilevel"/>
    <w:tmpl w:val="4B322DF2"/>
    <w:lvl w:ilvl="0" w:tplc="0BEC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5A4232"/>
    <w:multiLevelType w:val="hybridMultilevel"/>
    <w:tmpl w:val="91A011C0"/>
    <w:lvl w:ilvl="0" w:tplc="A7804B2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2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C0740C"/>
    <w:multiLevelType w:val="hybridMultilevel"/>
    <w:tmpl w:val="A0403AE4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8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45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0"/>
  </w:num>
  <w:num w:numId="7">
    <w:abstractNumId w:val="37"/>
  </w:num>
  <w:num w:numId="8">
    <w:abstractNumId w:val="21"/>
  </w:num>
  <w:num w:numId="9">
    <w:abstractNumId w:val="9"/>
  </w:num>
  <w:num w:numId="10">
    <w:abstractNumId w:val="7"/>
  </w:num>
  <w:num w:numId="11">
    <w:abstractNumId w:val="28"/>
  </w:num>
  <w:num w:numId="12">
    <w:abstractNumId w:val="13"/>
  </w:num>
  <w:num w:numId="13">
    <w:abstractNumId w:val="22"/>
  </w:num>
  <w:num w:numId="14">
    <w:abstractNumId w:val="27"/>
  </w:num>
  <w:num w:numId="15">
    <w:abstractNumId w:val="29"/>
  </w:num>
  <w:num w:numId="16">
    <w:abstractNumId w:val="41"/>
  </w:num>
  <w:num w:numId="17">
    <w:abstractNumId w:val="39"/>
  </w:num>
  <w:num w:numId="18">
    <w:abstractNumId w:val="6"/>
  </w:num>
  <w:num w:numId="19">
    <w:abstractNumId w:val="20"/>
  </w:num>
  <w:num w:numId="20">
    <w:abstractNumId w:val="43"/>
  </w:num>
  <w:num w:numId="21">
    <w:abstractNumId w:val="1"/>
  </w:num>
  <w:num w:numId="22">
    <w:abstractNumId w:val="2"/>
  </w:num>
  <w:num w:numId="23">
    <w:abstractNumId w:val="11"/>
  </w:num>
  <w:num w:numId="24">
    <w:abstractNumId w:val="10"/>
  </w:num>
  <w:num w:numId="25">
    <w:abstractNumId w:val="35"/>
  </w:num>
  <w:num w:numId="26">
    <w:abstractNumId w:val="38"/>
  </w:num>
  <w:num w:numId="27">
    <w:abstractNumId w:val="4"/>
  </w:num>
  <w:num w:numId="28">
    <w:abstractNumId w:val="5"/>
  </w:num>
  <w:num w:numId="29">
    <w:abstractNumId w:val="31"/>
  </w:num>
  <w:num w:numId="30">
    <w:abstractNumId w:val="17"/>
  </w:num>
  <w:num w:numId="31">
    <w:abstractNumId w:val="26"/>
  </w:num>
  <w:num w:numId="32">
    <w:abstractNumId w:val="12"/>
  </w:num>
  <w:num w:numId="33">
    <w:abstractNumId w:val="44"/>
  </w:num>
  <w:num w:numId="34">
    <w:abstractNumId w:val="34"/>
  </w:num>
  <w:num w:numId="35">
    <w:abstractNumId w:val="3"/>
  </w:num>
  <w:num w:numId="36">
    <w:abstractNumId w:val="42"/>
  </w:num>
  <w:num w:numId="37">
    <w:abstractNumId w:val="8"/>
  </w:num>
  <w:num w:numId="38">
    <w:abstractNumId w:val="36"/>
  </w:num>
  <w:num w:numId="39">
    <w:abstractNumId w:val="33"/>
  </w:num>
  <w:num w:numId="40">
    <w:abstractNumId w:val="30"/>
  </w:num>
  <w:num w:numId="41">
    <w:abstractNumId w:val="24"/>
  </w:num>
  <w:num w:numId="42">
    <w:abstractNumId w:val="32"/>
  </w:num>
  <w:num w:numId="43">
    <w:abstractNumId w:val="16"/>
  </w:num>
  <w:num w:numId="44">
    <w:abstractNumId w:val="23"/>
    <w:lvlOverride w:ilvl="0">
      <w:startOverride w:val="1"/>
    </w:lvlOverride>
  </w:num>
  <w:num w:numId="45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F4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F4C"/>
    <w:rsid w:val="00083322"/>
    <w:rsid w:val="00083391"/>
    <w:rsid w:val="00083788"/>
    <w:rsid w:val="000839CE"/>
    <w:rsid w:val="00083EBD"/>
    <w:rsid w:val="00084169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15D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063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1ED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62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0F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508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34F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8FF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4BD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BD8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3AB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5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214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FE5"/>
    <w:rsid w:val="002A30CB"/>
    <w:rsid w:val="002A31FF"/>
    <w:rsid w:val="002A3668"/>
    <w:rsid w:val="002A3771"/>
    <w:rsid w:val="002A398E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CC4"/>
    <w:rsid w:val="002C00FA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6D35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78A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C7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A7B86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796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799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0D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570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B32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6E3E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B8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1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50CE"/>
    <w:rsid w:val="005A588D"/>
    <w:rsid w:val="005A59CF"/>
    <w:rsid w:val="005A6A3A"/>
    <w:rsid w:val="005A6FA1"/>
    <w:rsid w:val="005A7F72"/>
    <w:rsid w:val="005B0604"/>
    <w:rsid w:val="005B1C68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38E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ECF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03E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6E0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BB0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407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E88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BC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255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3F4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CC6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95F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A1A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C54"/>
    <w:rsid w:val="008F3D2D"/>
    <w:rsid w:val="008F3D7C"/>
    <w:rsid w:val="008F3DC9"/>
    <w:rsid w:val="008F4107"/>
    <w:rsid w:val="008F4524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0EE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661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9D1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8F3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C14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838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0BC4"/>
    <w:rsid w:val="00A7141F"/>
    <w:rsid w:val="00A71B38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6F1B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C1E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3E9E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9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57B76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316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0E4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034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852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0C8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332"/>
    <w:rsid w:val="00C8534D"/>
    <w:rsid w:val="00C85FA0"/>
    <w:rsid w:val="00C8624E"/>
    <w:rsid w:val="00C86379"/>
    <w:rsid w:val="00C864DB"/>
    <w:rsid w:val="00C86838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3F7"/>
    <w:rsid w:val="00D71F20"/>
    <w:rsid w:val="00D7213C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4BA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7CD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B84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90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8A7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0C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860"/>
    <w:rsid w:val="00F15E41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6F7"/>
    <w:rsid w:val="00F25EB4"/>
    <w:rsid w:val="00F2617C"/>
    <w:rsid w:val="00F2643A"/>
    <w:rsid w:val="00F26886"/>
    <w:rsid w:val="00F2699C"/>
    <w:rsid w:val="00F269B6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599"/>
    <w:rsid w:val="00F42910"/>
    <w:rsid w:val="00F42C2B"/>
    <w:rsid w:val="00F439C5"/>
    <w:rsid w:val="00F44833"/>
    <w:rsid w:val="00F44D3A"/>
    <w:rsid w:val="00F465C1"/>
    <w:rsid w:val="00F4678D"/>
    <w:rsid w:val="00F467B0"/>
    <w:rsid w:val="00F46E40"/>
    <w:rsid w:val="00F46F8B"/>
    <w:rsid w:val="00F47132"/>
    <w:rsid w:val="00F4759D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4E8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0EC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50E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00C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41E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44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B8A15B-19B2-458E-A5BB-13C0289B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2018-02-17T00:28:00Z</dcterms:created>
  <dcterms:modified xsi:type="dcterms:W3CDTF">2018-02-17T00:28:00Z</dcterms:modified>
</cp:coreProperties>
</file>